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65102409" name="name125066bb53b503090"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103366bb53b50304b"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Gegevensbeheerder</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Gegevensbeheerder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Voor een gemeente in Noord-Brabant is RegioEffect op zoek naar een Gegevensbeheerder voor 36 uur per week. De gemeente is volop in beweging en dit gaat gepaard met veranderingen aan gebouwen en aan infrastructuur. Het is belangrijk dat deze wijzigingen niet alleen voor het oog zichtbaar blijven, maar dat deze ook nauwkeurig worden verwerkt in topografische kaarten. Als Gegevensbeheerder maak jij de kaart van de gemeente compleet. Samen met jouw collega gegevensbeheerder ben je verantwoordelijk voor het beheren, controleren en onderhouden van gegevens binnen de Basisregistratie Grootschalige Topografie (BGT). Je werkt nauw samen met diverse teams binnen de organisatie om ervoor te zorgen dat de beschikbare gegevens correct, actueel en nauwkeurig zijn. Lijkt dit je interessant? Lees dan vooral onderstaande vacature!</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 deze rol werk je intensief met luchtfoto’s om veranderingen in de omgeving te detecteren en te documenteren. Dankzij fotomutatie detectie signaleer en karteer je diverse wijzigingen via ons stereokarteerstation. Wanneer er nieuwe luchtfoto’s beschikbaar zijn, analyseer je deze en ga je op zoek naar veranderingen in objecten. Vervolgens ga je deze veranderingen zichtbaar maken in onze kaarten. Je hoeft niet fysiek naar de locaties toe, behalve wanneer de luchtfoto's onvoldoende inzicht bieden, bijvoorbeeld door obstructies in het beeld. In dat geval stuur je een verzoek naar de landmeter om in het veld de nodige metingen te verrichten.</w:t>
                  </w:r>
                  <w:r>
                    <w:rPr>
                      <w:rFonts w:ascii="arial" w:hAnsi="arial" w:eastAsia="arial" w:cs="arial"/>
                      <w:color w:val="000000"/>
                      <w:position w:val="-2"/>
                      <w:sz w:val="17"/>
                      <w:szCs w:val="17"/>
                    </w:rPr>
                    <w:br/>
                    <w:t xml:space="preserve"> </w:t>
                  </w:r>
                  <w:r>
                    <w:rPr>
                      <w:rFonts w:ascii="arial" w:hAnsi="arial" w:eastAsia="arial" w:cs="arial"/>
                      <w:color w:val="000000"/>
                      <w:position w:val="-2"/>
                      <w:sz w:val="17"/>
                      <w:szCs w:val="17"/>
                    </w:rPr>
                    <w:br/>
                    <w:t xml:space="preserve">Concreet ben je als gegevensbeheerder verantwoordelijk voor: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Beheren, controleren en onderhouden van de gegevens;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Signaleren van wijzigingen en verwerken middels stereokarteren van luchtfoto’s;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Doorvoeren van gesignaleerde wijzingen in onze topografische kaarten.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Gegevensbeheerder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bent scherp in het signaleren van wijzigingen, herkent belangrijke informatie en legt verbanden tussen gegevens. Jouw werkwijze kenmerkt zich door een bepaalde accuratesse en verantwoordelijkheid richting het kwaliteitsniveau. Het inspelen op de wensen en behoeften van onze klanten en gebruikers is voor jou vanzelfsprekend, net zoals het bijdragen aan de lange termijn doelstellingen van onze doelgroepen en opdrachtgevers. Hierin ga je proactief te werk.</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Daarbij verwachten we het volgende: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Minimaal mbo werk- en denkniveau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Relevante ervaring op het gebied van gegevensbeheer en de BGT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Heb je reeds ervaring met stereokarteren dan is dat een pré. Het is wel belangrijk dat je in staat bent om te kunnen werken met een stereokarteerstation. Hiervoor moet je diepte kunnen zien.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is een pré als je ervaring hebt met een van de volgende programma’s en/of apparatuur: Arcgis Esry, MicroStation CAD, dg DIALOG BGT.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Samen worden de opgaves en ambities van de gemeente gerealiseerd. Daar mag je ook een mooie beloning voor verwachten. Gegevensbeheerder is een baan voor 36 uur per week, daarvoor mag je rekenen op: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bruto maandsalaris van maximaal € 4.297,- (schaal 8), op basis van een 36-urige werkweek.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individueel keuzebudget van 17,05% van jouw salaris. Aan jou dus de keuze wat je met dit budget doet. Extra vakantiedagen? Of misschien toch een fiets aanschaffen? Daarnaast kan je het IKB uit laten betalen op elk gewenst moment.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Uitgebreide leer-, ontwikkelings- en doorgroeimogelijkheden. We zijn trots op de carrièrekansen die we bieden.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Locatieonafhankelijk werken met behulp van een laptop en smartphone. Je werktijden zijn flexibel in te delen én wij faciliteren thuiswerkplekken.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NS-Business Card en gebruik van Greenwheels voor dienstreizen.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Na een arbeidsovereenkomst van 1 jaar wordt er gezamenlijk bekeken of dit wordt omgezet naar onbepaalde tijd.</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Enthousiast geworden? Om te solliciteren of voor nadere informatie over deze functie kan je contact opnemen met Bram van Glabbeek via bram@regioeffect.nl of 06-51592700. Wij zien jouw interesse met korte motivatie en CV graag zo snel mogelijk tegemoet (uiterlijk op donderdag 27 augustus 2024).</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432422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730532">
    <w:multiLevelType w:val="hybridMultilevel"/>
    <w:lvl w:ilvl="0" w:tplc="54202574">
      <w:start w:val="1"/>
      <w:numFmt w:val="decimal"/>
      <w:lvlText w:val="%1."/>
      <w:lvlJc w:val="left"/>
      <w:pPr>
        <w:ind w:left="720" w:hanging="360"/>
      </w:pPr>
    </w:lvl>
    <w:lvl w:ilvl="1" w:tplc="54202574" w:tentative="1">
      <w:start w:val="1"/>
      <w:numFmt w:val="lowerLetter"/>
      <w:lvlText w:val="%2."/>
      <w:lvlJc w:val="left"/>
      <w:pPr>
        <w:ind w:left="1440" w:hanging="360"/>
      </w:pPr>
    </w:lvl>
    <w:lvl w:ilvl="2" w:tplc="54202574" w:tentative="1">
      <w:start w:val="1"/>
      <w:numFmt w:val="lowerRoman"/>
      <w:lvlText w:val="%3."/>
      <w:lvlJc w:val="right"/>
      <w:pPr>
        <w:ind w:left="2160" w:hanging="180"/>
      </w:pPr>
    </w:lvl>
    <w:lvl w:ilvl="3" w:tplc="54202574" w:tentative="1">
      <w:start w:val="1"/>
      <w:numFmt w:val="decimal"/>
      <w:lvlText w:val="%4."/>
      <w:lvlJc w:val="left"/>
      <w:pPr>
        <w:ind w:left="2880" w:hanging="360"/>
      </w:pPr>
    </w:lvl>
    <w:lvl w:ilvl="4" w:tplc="54202574" w:tentative="1">
      <w:start w:val="1"/>
      <w:numFmt w:val="lowerLetter"/>
      <w:lvlText w:val="%5."/>
      <w:lvlJc w:val="left"/>
      <w:pPr>
        <w:ind w:left="3600" w:hanging="360"/>
      </w:pPr>
    </w:lvl>
    <w:lvl w:ilvl="5" w:tplc="54202574" w:tentative="1">
      <w:start w:val="1"/>
      <w:numFmt w:val="lowerRoman"/>
      <w:lvlText w:val="%6."/>
      <w:lvlJc w:val="right"/>
      <w:pPr>
        <w:ind w:left="4320" w:hanging="180"/>
      </w:pPr>
    </w:lvl>
    <w:lvl w:ilvl="6" w:tplc="54202574" w:tentative="1">
      <w:start w:val="1"/>
      <w:numFmt w:val="decimal"/>
      <w:lvlText w:val="%7."/>
      <w:lvlJc w:val="left"/>
      <w:pPr>
        <w:ind w:left="5040" w:hanging="360"/>
      </w:pPr>
    </w:lvl>
    <w:lvl w:ilvl="7" w:tplc="54202574" w:tentative="1">
      <w:start w:val="1"/>
      <w:numFmt w:val="lowerLetter"/>
      <w:lvlText w:val="%8."/>
      <w:lvlJc w:val="left"/>
      <w:pPr>
        <w:ind w:left="5760" w:hanging="360"/>
      </w:pPr>
    </w:lvl>
    <w:lvl w:ilvl="8" w:tplc="54202574" w:tentative="1">
      <w:start w:val="1"/>
      <w:numFmt w:val="lowerRoman"/>
      <w:lvlText w:val="%9."/>
      <w:lvlJc w:val="right"/>
      <w:pPr>
        <w:ind w:left="6480" w:hanging="180"/>
      </w:pPr>
    </w:lvl>
  </w:abstractNum>
  <w:abstractNum w:abstractNumId="97730531">
    <w:multiLevelType w:val="hybridMultilevel"/>
    <w:lvl w:ilvl="0" w:tplc="773036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730531">
    <w:abstractNumId w:val="97730531"/>
  </w:num>
  <w:num w:numId="97730532">
    <w:abstractNumId w:val="97730532"/>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03366bb53b50304b" Type="http://schemas.openxmlformats.org/officeDocument/2006/relationships/image" Target="media/imgrId103366bb53b50304b.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