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gridCol w:w="1"/>
            </w:tblGrid>
            <w:tr>
              <w:trPr>
                <w:trHeight w:val="0" w:hRule="atLeast"/>
              </w:trPr>
              <w:tc>
                <w:tcPr>
                  <w:tcMar>
                    <w:top w:w="0" w:type="auto"/>
                    <w:left w:w="0" w:type="auto"/>
                    <w:bottom w:w="0" w:type="auto"/>
                    <w:right w:w="0" w:type="auto"/>
                  </w:tcMar>
                  <w:vAlign w:val="top"/>
                </w:tcPr>
                <w:p>
                  <w:r>
                    <w:rPr>
                      <w:position w:val="-60"/>
                    </w:rPr>
                    <w:drawing>
                      <wp:inline distT="0" distB="0" distL="0" distR="0">
                        <wp:extent cx="2296800" cy="439200"/>
                        <wp:docPr id="22445110" name="name481665b0fe835674c" descr="_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images"/>
                                <pic:cNvPicPr/>
                              </pic:nvPicPr>
                              <pic:blipFill>
                                <a:blip r:embed="rId672865b0fe835670d" cstate="print"/>
                                <a:stretch>
                                  <a:fillRect/>
                                </a:stretch>
                              </pic:blipFill>
                              <pic:spPr>
                                <a:xfrm>
                                  <a:off x="0" y="0"/>
                                  <a:ext cx="2296800" cy="439200"/>
                                </a:xfrm>
                                <a:prstGeom prst="rect">
                                  <a:avLst/>
                                </a:prstGeom>
                                <a:ln w="0">
                                  <a:noFill/>
                                </a:ln>
                              </pic:spPr>
                            </pic:pic>
                          </a:graphicData>
                        </a:graphic>
                      </wp:inline>
                    </w:drawing>
                  </w:r>
                </w:p>
              </w:tc>
              <w:tc>
                <w:tcPr>
                  <w:tcMar>
                    <w:top w:w="0" w:type="auto"/>
                    <w:left w:w="0" w:type="auto"/>
                    <w:bottom w:w="0" w:type="auto"/>
                    <w:right w:w="0" w:type="auto"/>
                  </w:tcMar>
                  <w:vAlign w:val="top"/>
                </w:tcPr>
                <w:p>
                  <w:pPr>
                    <w:widowControl w:val="on"/>
                    <w:pBdr/>
                    <w:spacing w:before="0" w:after="0" w:line="240" w:lineRule="auto"/>
                    <w:ind w:left="0" w:right="0"/>
                    <w:jc w:val="left"/>
                  </w:pPr>
                  <w:r>
                    <w:rPr>
                      <w:rFonts w:ascii="arial" w:hAnsi="arial" w:eastAsia="arial" w:cs="arial"/>
                      <w:color w:val="000000"/>
                      <w:position w:val="0"/>
                      <w:sz w:val="15"/>
                      <w:szCs w:val="15"/>
                    </w:rPr>
                    <w:t xml:space="preserve">RegioEffect</w:t>
                  </w:r>
                  <w:r>
                    <w:rPr>
                      <w:rFonts w:ascii="arial" w:hAnsi="arial" w:eastAsia="arial" w:cs="arial"/>
                      <w:color w:val="000000"/>
                      <w:position w:val="0"/>
                      <w:sz w:val="15"/>
                      <w:szCs w:val="15"/>
                    </w:rPr>
                    <w:br/>
                    <w:t xml:space="preserve">Binnenweg 7</w:t>
                  </w:r>
                  <w:r>
                    <w:rPr>
                      <w:rFonts w:ascii="arial" w:hAnsi="arial" w:eastAsia="arial" w:cs="arial"/>
                      <w:color w:val="000000"/>
                      <w:position w:val="0"/>
                      <w:sz w:val="15"/>
                      <w:szCs w:val="15"/>
                    </w:rPr>
                    <w:br/>
                    <w:t xml:space="preserve">6644 KD, Ewijk</w:t>
                  </w:r>
                  <w:r>
                    <w:rPr>
                      <w:rFonts w:ascii="arial" w:hAnsi="arial" w:eastAsia="arial" w:cs="arial"/>
                      <w:color w:val="000000"/>
                      <w:position w:val="0"/>
                      <w:sz w:val="15"/>
                      <w:szCs w:val="15"/>
                    </w:rPr>
                    <w:br/>
                    <w:t xml:space="preserve">info@regioeffect.nl</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Titel</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Projectleider Duurzaamheid Complexe Projecten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Consultant</w:t>
                  </w:r>
                </w:p>
              </w:tc>
            </w:tr>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Bram van Glabbeek</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omschrijving Projectleider Duurzaamheid Complexe Projecten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ga je doen?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Als projectleider voer je de regie over diverse projecten waarmee je bijdraagt aan de duurzaamheidsambities en energietransitie van de gemeente. Je hebt de leiding over complexe projecten waarbij je constant de kwaliteit, het budget en de planning bewaakt. Omdat het vaak over grote en complexe vraagstukken gaat, is het belangrijk dat jij continu de controle houdt over wat er speelt. Je betrekt, verbindt en zorgt voor succesvolle samenwerkingen.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De projecten waarmee jij je bezig gaat houden zijn in eerste instantie projecten die voortvloeien uit het uitvoeringsprogramma Duurzaamheid. Denk hierbij aan het klimaatbestendig of aardgasvrij maken van (nieuwe) woonwijken of het ontwikkelen en aanleggen van warmte-infrastructuur voor bedrijven. In de loop van de tijd kunnen er ook andere projecten onder je verantwoordelijkheid vallen.</w:t>
                  </w:r>
                </w:p>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Tot jouw verantwoordelijkheden behoren</w:t>
                  </w:r>
                  <w:r>
                    <w:rPr>
                      <w:rFonts w:ascii="arial" w:hAnsi="arial" w:eastAsia="arial" w:cs="arial"/>
                      <w:color w:val="000000"/>
                      <w:position w:val="-2"/>
                      <w:sz w:val="17"/>
                      <w:szCs w:val="17"/>
                    </w:rPr>
                    <w:t xml:space="preserve">:</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i/>
                      <w:iCs/>
                      <w:color w:val="000000"/>
                      <w:position w:val="-2"/>
                      <w:sz w:val="17"/>
                      <w:szCs w:val="17"/>
                    </w:rPr>
                    <w:t xml:space="preserve">Projectmanagement</w:t>
                  </w:r>
                  <w:r>
                    <w:rPr>
                      <w:rFonts w:ascii="arial" w:hAnsi="arial" w:eastAsia="arial" w:cs="arial"/>
                      <w:color w:val="000000"/>
                      <w:position w:val="-2"/>
                      <w:sz w:val="17"/>
                      <w:szCs w:val="17"/>
                    </w:rPr>
                    <w:t xml:space="preserve">. Je bent verantwoordelijk voor de uitvoer van het gehele project. Hierbij houd je kwaliteit, budget en planning nauw in de gaten.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i/>
                      <w:iCs/>
                      <w:color w:val="000000"/>
                      <w:position w:val="-2"/>
                      <w:sz w:val="17"/>
                      <w:szCs w:val="17"/>
                    </w:rPr>
                    <w:t xml:space="preserve">Stakeholdermanagement</w:t>
                  </w:r>
                  <w:r>
                    <w:rPr>
                      <w:rFonts w:ascii="arial" w:hAnsi="arial" w:eastAsia="arial" w:cs="arial"/>
                      <w:color w:val="000000"/>
                      <w:position w:val="-2"/>
                      <w:sz w:val="17"/>
                      <w:szCs w:val="17"/>
                    </w:rPr>
                    <w:t xml:space="preserve">. Je betrekt in- en externe stakeholders. Brengt de verschillende belangen in kaart en biedt ruimte om mee te denken.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i/>
                      <w:iCs/>
                      <w:color w:val="000000"/>
                      <w:position w:val="-2"/>
                      <w:sz w:val="17"/>
                      <w:szCs w:val="17"/>
                    </w:rPr>
                    <w:t xml:space="preserve">Communicatie</w:t>
                  </w:r>
                  <w:r>
                    <w:rPr>
                      <w:rFonts w:ascii="arial" w:hAnsi="arial" w:eastAsia="arial" w:cs="arial"/>
                      <w:color w:val="000000"/>
                      <w:position w:val="-2"/>
                      <w:sz w:val="17"/>
                      <w:szCs w:val="17"/>
                    </w:rPr>
                    <w:t xml:space="preserve">. Je communiceert met alle betrokkenen, schept duidelijke verwachtingen en zorgt ervoor dat de duurzaamheidsinitiatieven gedragen worden.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Functie eisen Projectleider Duurzaamheid Complexe Projecten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vragen wij van jou? </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Hbo werk- en denkniveau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Kennis en ervaring op het gebied van projectmanagement van grote (complexe) projecten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Je bent op de hoogte van de ontwikkelingen op het gebied van duurzaamheid</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Goede communicatieve vaardigheden en de skills om verwachtingen te managen</w:t>
                  </w:r>
                </w:p>
              </w:tc>
            </w:tr>
          </w:tbl>
          <w:p/>
        </w:tc>
      </w:tr>
      <w:tr>
        <w:trPr>
          <w:trHeight w:val="0" w:hRule="atLeast"/>
        </w:trPr>
        <w:tc>
          <w:tcPr>
            <w:tcMar>
              <w:top w:w="0" w:type="auto"/>
              <w:left w:w="0" w:type="auto"/>
              <w:bottom w:w="0" w:type="auto"/>
              <w:right w:w="0" w:type="auto"/>
            </w:tcMar>
            <w:vAlign w:val="center"/>
          </w:tcPr>
          <w:tbl>
            <w:tblPr>
              <w:tblStyle w:val="NormalTablePHPDOCX"/>
              <w:tblW w:w="5000" w:type="pct"/>
              <w:tblCellSpacing w:w="30" w:type="dxa"/>
              <w:tblInd w:w="0" w:type="auto"/>
              <w:tblBorders/>
            </w:tblPr>
            <w:tblGrid>
              <w:gridCol w:w="1"/>
            </w:tblGrid>
            <w:tr>
              <w:trPr>
                <w:trHeight w:val="0" w:hRule="atLeast"/>
              </w:trPr>
              <w:tc>
                <w:tcPr>
                  <w:tcMar>
                    <w:top w:w="0" w:type="auto"/>
                    <w:left w:w="0" w:type="auto"/>
                    <w:bottom w:w="0" w:type="auto"/>
                    <w:right w:w="0" w:type="auto"/>
                  </w:tcMar>
                  <w:vAlign w:val="center"/>
                </w:tcPr>
                <w:p>
                  <w:pPr>
                    <w:widowControl w:val="on"/>
                    <w:pBdr/>
                    <w:spacing w:before="0" w:after="0" w:line="240" w:lineRule="auto"/>
                    <w:ind w:left="0" w:right="0"/>
                    <w:jc w:val="left"/>
                  </w:pPr>
                  <w:r>
                    <w:rPr>
                      <w:rFonts w:ascii="arial" w:hAnsi="arial" w:eastAsia="arial" w:cs="arial"/>
                      <w:color w:val="000000"/>
                      <w:position w:val="-2"/>
                      <w:sz w:val="17"/>
                      <w:szCs w:val="17"/>
                    </w:rPr>
                    <w:t xml:space="preserve">Arbeidsvoorwaarden</w:t>
                  </w:r>
                </w:p>
              </w:tc>
            </w:tr>
            <w:tr>
              <w:trPr>
                <w:trHeight w:val="0" w:hRule="atLeast"/>
              </w:trPr>
              <w:tc>
                <w:tcPr>
                  <w:tcMar>
                    <w:top w:w="0" w:type="auto"/>
                    <w:left w:w="0" w:type="auto"/>
                    <w:bottom w:w="0" w:type="auto"/>
                    <w:right w:w="0" w:type="auto"/>
                  </w:tcMar>
                  <w:vAlign w:val="center"/>
                </w:tcPr>
                <w:p>
                  <w:pPr>
                    <w:widowControl w:val="on"/>
                    <w:pBdr/>
                    <w:spacing w:before="165" w:after="165" w:line="273" w:lineRule="auto"/>
                    <w:ind w:left="0" w:right="0"/>
                    <w:jc w:val="left"/>
                    <w:textAlignment w:val="center"/>
                  </w:pPr>
                  <w:r>
                    <w:rPr>
                      <w:rFonts w:ascii="arial" w:hAnsi="arial" w:eastAsia="arial" w:cs="arial"/>
                      <w:b/>
                      <w:bCs/>
                      <w:color w:val="000000"/>
                      <w:position w:val="-2"/>
                      <w:sz w:val="17"/>
                      <w:szCs w:val="17"/>
                    </w:rPr>
                    <w:t xml:space="preserve">Wat bieden wij jou?</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bruto maandsalaris van maximaal € 5.997,- (schaal 11), op basis van een 36-urige werkweek.</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individueel keuzebudget van 17,05% van jouw salaris. Aan jou dus de keuze wat je met dit budget doet. Extra vakantiedagen? Of misschien toch een fiets aanschaffen? Daarnaast kan je het IKB uit laten betalen op elk gewenst moment.</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Uitgebreide leer-, ontwikkelings- en doorgroeimogelijkheden. We zijn trots op de carrièrekansen die we bieden.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Locatieonafhankelijk werken met behulp van een laptop en smartphone. Je werktijden zijn flexibel in te delen én wij faciliteren thuiswerkplekken.</w:t>
                  </w:r>
                </w:p>
                <w:p>
                  <w:pPr>
                    <w:numPr>
                      <w:ilvl w:val="0"/>
                      <w:numId w:val="1"/>
                    </w:numPr>
                    <w:spacing w:before="0" w:after="0" w:line="273" w:lineRule="auto"/>
                    <w:jc w:val="left"/>
                    <w:rPr>
                      <w:rFonts w:ascii="arial" w:hAnsi="arial" w:eastAsia="arial" w:cs="arial"/>
                      <w:color w:val="000000"/>
                      <w:sz w:val="17"/>
                      <w:szCs w:val="17"/>
                    </w:rPr>
                  </w:pPr>
                  <w:r>
                    <w:rPr>
                      <w:rFonts w:ascii="arial" w:hAnsi="arial" w:eastAsia="arial" w:cs="arial"/>
                      <w:color w:val="000000"/>
                      <w:position w:val="-2"/>
                      <w:sz w:val="17"/>
                      <w:szCs w:val="17"/>
                    </w:rPr>
                    <w:t xml:space="preserve">Een NS-Business Card en gebruik van Greenwheels voor dienstreizen.</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Na een arbeidsovereenkomst van 1 jaar bekijken we samen of we dit omzetten naar onbepaalde tijd.</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 </w:t>
                  </w:r>
                </w:p>
                <w:p>
                  <w:pPr>
                    <w:widowControl w:val="on"/>
                    <w:pBdr/>
                    <w:spacing w:before="165" w:after="165" w:line="273" w:lineRule="auto"/>
                    <w:ind w:left="0" w:right="0"/>
                    <w:jc w:val="left"/>
                    <w:textAlignment w:val="center"/>
                  </w:pPr>
                  <w:r>
                    <w:rPr>
                      <w:rFonts w:ascii="arial" w:hAnsi="arial" w:eastAsia="arial" w:cs="arial"/>
                      <w:color w:val="000000"/>
                      <w:position w:val="-2"/>
                      <w:sz w:val="17"/>
                      <w:szCs w:val="17"/>
                    </w:rPr>
                    <w:t xml:space="preserve">Enthousiast geworden? Stuur jouw cv en motivatie </w:t>
                  </w:r>
                  <w:r>
                    <w:rPr>
                      <w:rFonts w:ascii="arial" w:hAnsi="arial" w:eastAsia="arial" w:cs="arial"/>
                      <w:b/>
                      <w:bCs/>
                      <w:color w:val="000000"/>
                      <w:position w:val="-2"/>
                      <w:sz w:val="17"/>
                      <w:szCs w:val="17"/>
                    </w:rPr>
                    <w:t xml:space="preserve">uiterlijk 9 februari 2024</w:t>
                  </w:r>
                  <w:r>
                    <w:rPr>
                      <w:rFonts w:ascii="arial" w:hAnsi="arial" w:eastAsia="arial" w:cs="arial"/>
                      <w:color w:val="000000"/>
                      <w:position w:val="-2"/>
                      <w:sz w:val="17"/>
                      <w:szCs w:val="17"/>
                    </w:rPr>
                    <w:t xml:space="preserve"> op naar onze Accountmanager Bram van Glabbeek. Je kunt contact opnemen met hem via bram@regioeffect.nl of 06-51592700. Heb je nog vragen? Bel of mail gerust!</w:t>
                  </w:r>
                </w:p>
              </w:tc>
            </w:tr>
          </w:tbl>
          <w:p/>
        </w:tc>
      </w:tr>
    </w:tbl>
    <w:sectPr xmlns:w="http://schemas.openxmlformats.org/wordprocessingml/2006/main" w:rsidR="00AC197E" w:rsidRPr="00DF064E" w:rsidSect="000F6147">
      <w:pgSz w:w="11906" w:h="16838" w:orient="portrait" w:code="9"/>
      <w:pgMar w:top="1134" w:right="850" w:bottom="1417" w:left="850"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tplc="587322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372250">
    <w:multiLevelType w:val="hybridMultilevel"/>
    <w:lvl w:ilvl="0" w:tplc="68945504">
      <w:start w:val="1"/>
      <w:numFmt w:val="decimal"/>
      <w:lvlText w:val="%1."/>
      <w:lvlJc w:val="left"/>
      <w:pPr>
        <w:ind w:left="720" w:hanging="360"/>
      </w:pPr>
    </w:lvl>
    <w:lvl w:ilvl="1" w:tplc="68945504" w:tentative="1">
      <w:start w:val="1"/>
      <w:numFmt w:val="lowerLetter"/>
      <w:lvlText w:val="%2."/>
      <w:lvlJc w:val="left"/>
      <w:pPr>
        <w:ind w:left="1440" w:hanging="360"/>
      </w:pPr>
    </w:lvl>
    <w:lvl w:ilvl="2" w:tplc="68945504" w:tentative="1">
      <w:start w:val="1"/>
      <w:numFmt w:val="lowerRoman"/>
      <w:lvlText w:val="%3."/>
      <w:lvlJc w:val="right"/>
      <w:pPr>
        <w:ind w:left="2160" w:hanging="180"/>
      </w:pPr>
    </w:lvl>
    <w:lvl w:ilvl="3" w:tplc="68945504" w:tentative="1">
      <w:start w:val="1"/>
      <w:numFmt w:val="decimal"/>
      <w:lvlText w:val="%4."/>
      <w:lvlJc w:val="left"/>
      <w:pPr>
        <w:ind w:left="2880" w:hanging="360"/>
      </w:pPr>
    </w:lvl>
    <w:lvl w:ilvl="4" w:tplc="68945504" w:tentative="1">
      <w:start w:val="1"/>
      <w:numFmt w:val="lowerLetter"/>
      <w:lvlText w:val="%5."/>
      <w:lvlJc w:val="left"/>
      <w:pPr>
        <w:ind w:left="3600" w:hanging="360"/>
      </w:pPr>
    </w:lvl>
    <w:lvl w:ilvl="5" w:tplc="68945504" w:tentative="1">
      <w:start w:val="1"/>
      <w:numFmt w:val="lowerRoman"/>
      <w:lvlText w:val="%6."/>
      <w:lvlJc w:val="right"/>
      <w:pPr>
        <w:ind w:left="4320" w:hanging="180"/>
      </w:pPr>
    </w:lvl>
    <w:lvl w:ilvl="6" w:tplc="68945504" w:tentative="1">
      <w:start w:val="1"/>
      <w:numFmt w:val="decimal"/>
      <w:lvlText w:val="%7."/>
      <w:lvlJc w:val="left"/>
      <w:pPr>
        <w:ind w:left="5040" w:hanging="360"/>
      </w:pPr>
    </w:lvl>
    <w:lvl w:ilvl="7" w:tplc="68945504" w:tentative="1">
      <w:start w:val="1"/>
      <w:numFmt w:val="lowerLetter"/>
      <w:lvlText w:val="%8."/>
      <w:lvlJc w:val="left"/>
      <w:pPr>
        <w:ind w:left="5760" w:hanging="360"/>
      </w:pPr>
    </w:lvl>
    <w:lvl w:ilvl="8" w:tplc="68945504" w:tentative="1">
      <w:start w:val="1"/>
      <w:numFmt w:val="lowerRoman"/>
      <w:lvlText w:val="%9."/>
      <w:lvlJc w:val="right"/>
      <w:pPr>
        <w:ind w:left="6480" w:hanging="180"/>
      </w:pPr>
    </w:lvl>
  </w:abstractNum>
  <w:abstractNum w:abstractNumId="95372249">
    <w:multiLevelType w:val="hybridMultilevel"/>
    <w:lvl w:ilvl="0" w:tplc="71018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372249">
    <w:abstractNumId w:val="95372249"/>
  </w:num>
  <w:num w:numId="95372250">
    <w:abstractNumId w:val="95372250"/>
  </w: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672865b0fe835670d" Type="http://schemas.openxmlformats.org/officeDocument/2006/relationships/image" Target="media/imgrId672865b0fe835670d.png"/></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