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top"/>
                </w:tcPr>
                <w:p>
                  <w:r>
                    <w:rPr>
                      <w:position w:val="-60"/>
                    </w:rPr>
                    <w:drawing>
                      <wp:inline distT="0" distB="0" distL="0" distR="0">
                        <wp:extent cx="2296800" cy="439200"/>
                        <wp:docPr id="49745691" name="name24666319d4651c349"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29616319d4651c300" cstate="print"/>
                                <a:stretch>
                                  <a:fillRect/>
                                </a:stretch>
                              </pic:blipFill>
                              <pic:spPr>
                                <a:xfrm>
                                  <a:off x="0" y="0"/>
                                  <a:ext cx="2296800" cy="439200"/>
                                </a:xfrm>
                                <a:prstGeom prst="rect">
                                  <a:avLst/>
                                </a:prstGeom>
                                <a:ln w="0">
                                  <a:noFill/>
                                </a:ln>
                              </pic:spPr>
                            </pic:pic>
                          </a:graphicData>
                        </a:graphic>
                      </wp:inline>
                    </w:drawing>
                  </w:r>
                </w:p>
              </w:tc>
              <w:tc>
                <w:tcPr>
                  <w:tcMar>
                    <w:top w:w="0" w:type="auto"/>
                    <w:left w:w="0" w:type="auto"/>
                    <w:bottom w:w="0" w:type="auto"/>
                    <w:right w:w="0" w:type="auto"/>
                  </w:tcMar>
                  <w:vAlign w:val="top"/>
                </w:tcPr>
                <w:p>
                  <w:pPr>
                    <w:widowControl w:val="on"/>
                    <w:pBdr/>
                    <w:spacing w:before="0" w:after="0" w:line="240" w:lineRule="auto"/>
                    <w:ind w:left="0" w:right="0"/>
                    <w:jc w:val="left"/>
                  </w:pPr>
                  <w:r>
                    <w:rPr>
                      <w:rFonts w:ascii="arial" w:hAnsi="arial" w:eastAsia="arial" w:cs="arial"/>
                      <w:color w:val="000000"/>
                      <w:position w:val="0"/>
                      <w:sz w:val="15"/>
                      <w:szCs w:val="15"/>
                    </w:rPr>
                    <w:t xml:space="preserve">RegioEffect</w:t>
                  </w:r>
                  <w:r>
                    <w:rPr>
                      <w:rFonts w:ascii="arial" w:hAnsi="arial" w:eastAsia="arial" w:cs="arial"/>
                      <w:color w:val="000000"/>
                      <w:position w:val="0"/>
                      <w:sz w:val="15"/>
                      <w:szCs w:val="15"/>
                    </w:rPr>
                    <w:br/>
                    <w:t xml:space="preserve">Binnenweg 7</w:t>
                  </w:r>
                  <w:r>
                    <w:rPr>
                      <w:rFonts w:ascii="arial" w:hAnsi="arial" w:eastAsia="arial" w:cs="arial"/>
                      <w:color w:val="000000"/>
                      <w:position w:val="0"/>
                      <w:sz w:val="15"/>
                      <w:szCs w:val="15"/>
                    </w:rPr>
                    <w:br/>
                    <w:t xml:space="preserve">6644 KD, Ewijk</w:t>
                  </w:r>
                  <w:r>
                    <w:rPr>
                      <w:rFonts w:ascii="arial" w:hAnsi="arial" w:eastAsia="arial" w:cs="arial"/>
                      <w:color w:val="000000"/>
                      <w:position w:val="0"/>
                      <w:sz w:val="15"/>
                      <w:szCs w:val="15"/>
                    </w:rPr>
                    <w:br/>
                    <w:t xml:space="preserve">info@regioeffect.nl</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Titel</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Twee Senior beleidsadviseurs Maatschappelijke Ontwikkeling</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Consultant</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Mareen Medema</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omschrijving Twee Senior beleidsadviseurs Maatschappelijke Ontwikkeling</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Jij werkt aan het Apeldoorn van morgen, voor iedereen. Zet jij jouw kennis en ervaring als beleidsadviseur in voor een sterk en betrokken Apeldoorn waar iedereen ertoe doet? </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Deze vacature van senior beleidsadviseur Maatschappelijke Ontwikkeling (32-36 uur) is jouw volgende stap als jij:</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wil werken voor een gemeente waar inwoners meedoen vanuit hun eigen rol, verantwoordelijkheid en talenten. En waar de gemeente (en dus jij!) dan op aansluit.</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samenredzaamheid de kern van jouw functie wil laten worden.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jezelf wil blijven ontwikkelen binnen een dynamische organisatie. </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Wij zoeken 2 senior beleidsadviseurs, namelijk een adviseur met zwaartepunt Wmo en een adviseur met zwaartepunt jeugd. In de vacaturetekst lees je meer over deze verschillende opdrachten.</w:t>
                  </w:r>
                </w:p>
                <w:p>
                  <w:pPr>
                    <w:widowControl w:val="on"/>
                    <w:pBdr/>
                    <w:spacing w:before="165" w:after="165" w:line="273" w:lineRule="auto"/>
                    <w:ind w:left="0" w:right="0"/>
                    <w:jc w:val="left"/>
                    <w:textAlignment w:val="center"/>
                  </w:pPr>
                  <w:r>
                    <w:rPr>
                      <w:rFonts w:ascii="arial" w:hAnsi="arial" w:eastAsia="arial" w:cs="arial"/>
                      <w:b/>
                      <w:bCs/>
                      <w:color w:val="000000"/>
                      <w:position w:val="-2"/>
                      <w:sz w:val="17"/>
                      <w:szCs w:val="17"/>
                    </w:rPr>
                    <w:t xml:space="preserve">Dit ga je doen</w:t>
                  </w:r>
                  <w:r>
                    <w:rPr>
                      <w:rFonts w:ascii="arial" w:hAnsi="arial" w:eastAsia="arial" w:cs="arial"/>
                      <w:color w:val="000000"/>
                      <w:position w:val="-2"/>
                      <w:sz w:val="17"/>
                      <w:szCs w:val="17"/>
                    </w:rPr>
                    <w:br/>
                    <w:t xml:space="preserve">In onze agenda 2040 hebben we geschreven: “Als beleidsadviseur help je om ons sociaal fundament te versterken met oog voor kwetsbare inwoners en wat zij nodig hebben om optimaal mee te doen”. Om dit te bereiken werk je binnen de afdeling Beleid Maatschappelijke Ontwikkeling (BMO) samen met ongeveer 35 andere collega’s aan de transformatie binnen het sociaal domein, op het gebied van o.a. de WMO, Jeugd, Onderwijs, Gezondheid en de Participatiewet. We volgen de nieuwe kadernota ‘Een Veerkrachtig Apeldoorn, Maatschappelijke Ontwikkeling 2022-2030’. We doen dat meer dan tot nu toe vanuit de leefwereld van de inwoner, dat betekent integraal vanuit alle leefgebieden c.q. beleidsdomeinen. Nieuw is het buurtgericht werken waarmee we fysiek en sociaal kunnen verbinden op een behapbaar schaalniveau nabij de inwoners. </w:t>
                  </w:r>
                  <w:r>
                    <w:rPr>
                      <w:rFonts w:ascii="arial" w:hAnsi="arial" w:eastAsia="arial" w:cs="arial"/>
                      <w:color w:val="000000"/>
                      <w:position w:val="-2"/>
                      <w:sz w:val="17"/>
                      <w:szCs w:val="17"/>
                    </w:rPr>
                    <w:br/>
                    <w:br/>
                    <w:t xml:space="preserve">Dus we vragen van onze beleidsadviseurs dat ze het totale domein van de maatschappelijke ontwikkeling overzien. Je ziet jeugd, participatie en Wmo als één geheel en weet verbindingen te leggen tussen deze terreinen en waar nodig ook met aanpalende beleidsterreinen. Dat maakt de functie zo interessant.</w:t>
                  </w:r>
                  <w:r>
                    <w:rPr>
                      <w:rFonts w:ascii="arial" w:hAnsi="arial" w:eastAsia="arial" w:cs="arial"/>
                      <w:color w:val="000000"/>
                      <w:position w:val="-2"/>
                      <w:sz w:val="17"/>
                      <w:szCs w:val="17"/>
                    </w:rPr>
                    <w:br/>
                    <w:br/>
                    <w:t xml:space="preserve">Het zwaartepunt van 1 van de functies ligt op het terrein van </w:t>
                  </w:r>
                  <w:r>
                    <w:rPr>
                      <w:rFonts w:ascii="arial" w:hAnsi="arial" w:eastAsia="arial" w:cs="arial"/>
                      <w:b/>
                      <w:bCs/>
                      <w:color w:val="000000"/>
                      <w:position w:val="-2"/>
                      <w:sz w:val="17"/>
                      <w:szCs w:val="17"/>
                    </w:rPr>
                    <w:t xml:space="preserve">Wmo</w:t>
                  </w:r>
                  <w:r>
                    <w:rPr>
                      <w:rFonts w:ascii="arial" w:hAnsi="arial" w:eastAsia="arial" w:cs="arial"/>
                      <w:color w:val="000000"/>
                      <w:position w:val="-2"/>
                      <w:sz w:val="17"/>
                      <w:szCs w:val="17"/>
                    </w:rPr>
                    <w:t xml:space="preserve">. Je gaat meewerken aan de evaluatie en doorontwikkeling van regionaal ingekochte producten zoals onder andere Respijtzorg (logeeropvang) en Begeleiding Groep waarbij de aansluiting op de lokale algemene voorzieningen en de lokale toegang aandacht heeft. Op het gebied van inkoop Wmo/ Jeugd werken we samen met 8 gemeenten. Jij werkt en schrijft actief mee aan het mogelijk maken van regionale besluitvorming. Ook lokaal en regionaal toezicht en handhaving valt onder je aandachtsgebied. </w:t>
                  </w:r>
                  <w:r>
                    <w:rPr>
                      <w:rFonts w:ascii="arial" w:hAnsi="arial" w:eastAsia="arial" w:cs="arial"/>
                      <w:color w:val="000000"/>
                      <w:position w:val="-2"/>
                      <w:sz w:val="17"/>
                      <w:szCs w:val="17"/>
                    </w:rPr>
                    <w:br/>
                    <w:br/>
                    <w:t xml:space="preserve">Samen met zorgprofessionals, onze toegang en andere betrokken partners zorgen we dagelijks voor hulp en ondersteuning aan kinderen en jongeren. In de andere functie werk je actief mee aan de verbetering van deze </w:t>
                  </w:r>
                  <w:r>
                    <w:rPr>
                      <w:rFonts w:ascii="arial" w:hAnsi="arial" w:eastAsia="arial" w:cs="arial"/>
                      <w:b/>
                      <w:bCs/>
                      <w:color w:val="000000"/>
                      <w:position w:val="-2"/>
                      <w:sz w:val="17"/>
                      <w:szCs w:val="17"/>
                    </w:rPr>
                    <w:t xml:space="preserve">jeugdhulp</w:t>
                  </w:r>
                  <w:r>
                    <w:rPr>
                      <w:rFonts w:ascii="arial" w:hAnsi="arial" w:eastAsia="arial" w:cs="arial"/>
                      <w:color w:val="000000"/>
                      <w:position w:val="-2"/>
                      <w:sz w:val="17"/>
                      <w:szCs w:val="17"/>
                    </w:rPr>
                    <w:t xml:space="preserve">. Daarbij heb je oog voor de kwaliteit maar ook de kosten van de jeugdhulp. Wij streven naar jeugdhulp die effectiever en beter passend is en versterken de sociale basis zodat de jeugdige inwoners van Apeldoorn zo goed mogelijk mee kunnen doen aan de samenleving.  </w:t>
                  </w:r>
                  <w:r>
                    <w:rPr>
                      <w:rFonts w:ascii="arial" w:hAnsi="arial" w:eastAsia="arial" w:cs="arial"/>
                      <w:color w:val="000000"/>
                      <w:position w:val="-2"/>
                      <w:sz w:val="17"/>
                      <w:szCs w:val="17"/>
                    </w:rPr>
                    <w:br/>
                    <w:br/>
                    <w:t xml:space="preserve">Verder lever je in beide functies een bijdrage aan onze uitvoeringsplannen, de nieuwe meerjaren programmabegroting (MPB), verordening Wmo/Jeugd en de bijbehorende beleidsregels Dit alles doe je in nauwe samenwerking met de kwaliteitsmedewerkers van de afdeling Loket Sociaal, de andere beleidsmedewerkers en met de andere partners in de keten, in- en extern, waaronder het Centrum voor Jeugd en Gezin.</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eisen Twee Senior beleidsadviseurs Maatschappelijke Ontwikkeling</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Apeldoorn groeit hard en toch willen wij de sociale gemeente blijven die we zijn. Dat wij visie hebben op Maatschappelijke Ontwikkeling, dat is dus wel duidelijk. Dat is ook meteen wat jou zo aantrekt aan deze functie: écht iets betekenen voor inwoners en veel nieuwe ontwikkelingen om aan bij te dragen. Jij kijkt verder dan jouw eigen expertise en overziet het totale domein van de maatschappelijke ontwikkeling. Daarnaast leg je makkelijk verbinding, heb je een helikopterview, en sta je stevig in je schoenen. Je werkt zelfstandig maar weet op tijd ook verbinding te leggen met anderen. Je weet ook de brug te slaan tussen beleid en uitvoering en vindt daarbij de balans tussen inwonergericht, effectief en efficiënt. Je maakt een beleidsmatige vertaling van (landelijke) ontwikkelingen of van informatie die je uit diverse databronnen haalt.</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Daarnaast heb je: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academisch werk- en denkniveau.</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ervaring in het werken bij gemeenten en ervaring met beleidsadvisering op het terrein van Wmo en/of jeugd.</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Bedrijfsprofiel</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Werken voor Apeldoorn…</w:t>
                  </w:r>
                  <w:r>
                    <w:rPr>
                      <w:rFonts w:ascii="arial" w:hAnsi="arial" w:eastAsia="arial" w:cs="arial"/>
                      <w:color w:val="000000"/>
                      <w:position w:val="-2"/>
                      <w:sz w:val="17"/>
                      <w:szCs w:val="17"/>
                    </w:rPr>
                    <w:br/>
                    <w:t xml:space="preserve">..betekent werken voor een open en ambitieuze organisatie. Met 165.000 inwoners zijn we de 11e gemeente van Nederland. Met zo’n 1.350 collega’s dragen we bij aan de strategische doelen van de organisatie: Apeldoorn versterken als gezinsstad, duurzaam en ondernemend Apeldoorn en een toeristisch toplandschap. Genoeg uitdaging voor jou en jouw afdeling dus! Wat jouw nieuwe team kenmerkt? Dat is natuurlijk het tonen van eigenaarschap en dat we samen verantwoordelijk zijn voor het eindresultaat.</w:t>
                  </w:r>
                  <w:r>
                    <w:rPr>
                      <w:rFonts w:ascii="arial" w:hAnsi="arial" w:eastAsia="arial" w:cs="arial"/>
                      <w:color w:val="000000"/>
                      <w:position w:val="-2"/>
                      <w:sz w:val="17"/>
                      <w:szCs w:val="17"/>
                    </w:rPr>
                    <w:br/>
                    <w:br/>
                    <w:t xml:space="preserve">Bij de gemeente Apeldoorn werk je niet alleen aan beleid, maar ook aan jezelf. Want met volop kansen voor ontwikkeling, zijn we een ambitieuze organisatie. Een dichte deur kom je bij ons niet gauw tegen, betrouwbare en innovatieve collega’s wel! </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Arbeidsvoorwaarden</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b/>
                      <w:bCs/>
                      <w:color w:val="000000"/>
                      <w:position w:val="-2"/>
                      <w:sz w:val="17"/>
                      <w:szCs w:val="17"/>
                    </w:rPr>
                    <w:t xml:space="preserve">Dit bieden we je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Een bruto maandsalaris van minimaal € 3.615,- maximaal € 5.247,- (schaal 11)  op basis van 36 uur;</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Een aanstelling voor 2 jaar, met de inzet om het daarna structureel te maken;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Individueel Keuzebudget (IKB) van 17,45% bovenop je salaris;</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Een goede werk/privé balans;</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144 verlofuren op basis van 36 uur;</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Een aantrekkelijke pensioenregeling;</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Flexibel werken.</w:t>
                  </w:r>
                </w:p>
                <w:p>
                  <w:pPr>
                    <w:widowControl w:val="on"/>
                    <w:pBdr/>
                    <w:spacing w:before="165" w:after="165" w:line="273" w:lineRule="auto"/>
                    <w:ind w:left="0" w:right="0"/>
                    <w:jc w:val="left"/>
                    <w:textAlignment w:val="center"/>
                  </w:pPr>
                  <w:r>
                    <w:rPr>
                      <w:rFonts w:ascii="arial" w:hAnsi="arial" w:eastAsia="arial" w:cs="arial"/>
                      <w:b/>
                      <w:bCs/>
                      <w:color w:val="000000"/>
                      <w:position w:val="-2"/>
                      <w:sz w:val="17"/>
                      <w:szCs w:val="17"/>
                    </w:rPr>
                    <w:t xml:space="preserve">Contact en informatie procedure </w:t>
                  </w:r>
                  <w:r>
                    <w:rPr>
                      <w:rFonts w:ascii="arial" w:hAnsi="arial" w:eastAsia="arial" w:cs="arial"/>
                      <w:color w:val="000000"/>
                      <w:position w:val="-2"/>
                      <w:sz w:val="17"/>
                      <w:szCs w:val="17"/>
                    </w:rPr>
                    <w:br/>
                    <w:t xml:space="preserve">Deze procedure wordt begeleid door RegioEffect. Voor nadere informatie kan je contact opnemen met onze Senior Recruiter Mareen Medema 06-28115693 of mareen@regioeffect.nl. We zien jouw sollicitatie inclusief curriculum vitae en motivatie graag zo snel mogelijk tegemoet.</w:t>
                  </w:r>
                </w:p>
                <w:p>
                  <w:pPr>
                    <w:widowControl w:val="on"/>
                    <w:pBdr/>
                    <w:spacing w:before="165" w:after="165" w:line="273" w:lineRule="auto"/>
                    <w:ind w:left="0" w:right="0"/>
                    <w:jc w:val="left"/>
                    <w:textAlignment w:val="center"/>
                  </w:pPr>
                  <w:r>
                    <w:rPr>
                      <w:rFonts w:ascii="arial" w:hAnsi="arial" w:eastAsia="arial" w:cs="arial"/>
                      <w:b/>
                      <w:bCs/>
                      <w:color w:val="000000"/>
                      <w:position w:val="-2"/>
                      <w:sz w:val="17"/>
                      <w:szCs w:val="17"/>
                    </w:rPr>
                    <w:t xml:space="preserve">Iedereen doet mee</w:t>
                  </w:r>
                  <w:r>
                    <w:rPr>
                      <w:rFonts w:ascii="arial" w:hAnsi="arial" w:eastAsia="arial" w:cs="arial"/>
                      <w:color w:val="000000"/>
                      <w:position w:val="-2"/>
                      <w:sz w:val="17"/>
                      <w:szCs w:val="17"/>
                    </w:rPr>
                    <w:br/>
                    <w:t xml:space="preserve">De gemeente Apeldoorn is een inclusieve organisatie. We zijn ervan overtuigd dat we met een diverse organisatie beter zijn voorbereid op de ontwikkelingen in de samenleving. Naast je talent en kwaliteiten breng je ook je achtergrond en voorkeuren met je mee. Je bent welkom!</w:t>
                  </w:r>
                </w:p>
              </w:tc>
            </w:tr>
          </w:tbl>
          <w:p/>
        </w:tc>
      </w:tr>
    </w:tbl>
    <w:sectPr xmlns:w="http://schemas.openxmlformats.org/wordprocessingml/2006/main" w:rsidR="00AC197E" w:rsidRPr="00DF064E" w:rsidSect="000F6147">
      <w:pgSz w:w="11906" w:h="16838" w:orient="portrait" w:code="9"/>
      <w:pgMar w:top="1134" w:right="850" w:bottom="1417" w:left="850"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tplc="87115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742233">
    <w:multiLevelType w:val="hybridMultilevel"/>
    <w:lvl w:ilvl="0" w:tplc="57353008">
      <w:start w:val="1"/>
      <w:numFmt w:val="decimal"/>
      <w:lvlText w:val="%1."/>
      <w:lvlJc w:val="left"/>
      <w:pPr>
        <w:ind w:left="720" w:hanging="360"/>
      </w:pPr>
    </w:lvl>
    <w:lvl w:ilvl="1" w:tplc="57353008" w:tentative="1">
      <w:start w:val="1"/>
      <w:numFmt w:val="lowerLetter"/>
      <w:lvlText w:val="%2."/>
      <w:lvlJc w:val="left"/>
      <w:pPr>
        <w:ind w:left="1440" w:hanging="360"/>
      </w:pPr>
    </w:lvl>
    <w:lvl w:ilvl="2" w:tplc="57353008" w:tentative="1">
      <w:start w:val="1"/>
      <w:numFmt w:val="lowerRoman"/>
      <w:lvlText w:val="%3."/>
      <w:lvlJc w:val="right"/>
      <w:pPr>
        <w:ind w:left="2160" w:hanging="180"/>
      </w:pPr>
    </w:lvl>
    <w:lvl w:ilvl="3" w:tplc="57353008" w:tentative="1">
      <w:start w:val="1"/>
      <w:numFmt w:val="decimal"/>
      <w:lvlText w:val="%4."/>
      <w:lvlJc w:val="left"/>
      <w:pPr>
        <w:ind w:left="2880" w:hanging="360"/>
      </w:pPr>
    </w:lvl>
    <w:lvl w:ilvl="4" w:tplc="57353008" w:tentative="1">
      <w:start w:val="1"/>
      <w:numFmt w:val="lowerLetter"/>
      <w:lvlText w:val="%5."/>
      <w:lvlJc w:val="left"/>
      <w:pPr>
        <w:ind w:left="3600" w:hanging="360"/>
      </w:pPr>
    </w:lvl>
    <w:lvl w:ilvl="5" w:tplc="57353008" w:tentative="1">
      <w:start w:val="1"/>
      <w:numFmt w:val="lowerRoman"/>
      <w:lvlText w:val="%6."/>
      <w:lvlJc w:val="right"/>
      <w:pPr>
        <w:ind w:left="4320" w:hanging="180"/>
      </w:pPr>
    </w:lvl>
    <w:lvl w:ilvl="6" w:tplc="57353008" w:tentative="1">
      <w:start w:val="1"/>
      <w:numFmt w:val="decimal"/>
      <w:lvlText w:val="%7."/>
      <w:lvlJc w:val="left"/>
      <w:pPr>
        <w:ind w:left="5040" w:hanging="360"/>
      </w:pPr>
    </w:lvl>
    <w:lvl w:ilvl="7" w:tplc="57353008" w:tentative="1">
      <w:start w:val="1"/>
      <w:numFmt w:val="lowerLetter"/>
      <w:lvlText w:val="%8."/>
      <w:lvlJc w:val="left"/>
      <w:pPr>
        <w:ind w:left="5760" w:hanging="360"/>
      </w:pPr>
    </w:lvl>
    <w:lvl w:ilvl="8" w:tplc="57353008" w:tentative="1">
      <w:start w:val="1"/>
      <w:numFmt w:val="lowerRoman"/>
      <w:lvlText w:val="%9."/>
      <w:lvlJc w:val="right"/>
      <w:pPr>
        <w:ind w:left="6480" w:hanging="180"/>
      </w:pPr>
    </w:lvl>
  </w:abstractNum>
  <w:abstractNum w:abstractNumId="58742232">
    <w:multiLevelType w:val="hybridMultilevel"/>
    <w:lvl w:ilvl="0" w:tplc="189868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742232">
    <w:abstractNumId w:val="58742232"/>
  </w:num>
  <w:num w:numId="58742233">
    <w:abstractNumId w:val="58742233"/>
  </w: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29616319d4651c300" Type="http://schemas.openxmlformats.org/officeDocument/2006/relationships/image" Target="media/imgrId29616319d4651c300.png"/></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