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gridCol w:w="1"/>
            </w:tblGrid>
            <w:tr>
              <w:trPr>
                <w:trHeight w:val="0" w:hRule="atLeast"/>
              </w:trPr>
              <w:tc>
                <w:tcPr>
                  <w:tcMar>
                    <w:top w:w="0" w:type="auto"/>
                    <w:left w:w="0" w:type="auto"/>
                    <w:bottom w:w="0" w:type="auto"/>
                    <w:right w:w="0" w:type="auto"/>
                  </w:tcMar>
                  <w:vAlign w:val="top"/>
                </w:tcPr>
                <w:p>
                  <w:r>
                    <w:rPr>
                      <w:position w:val="-60"/>
                    </w:rPr>
                    <w:drawing>
                      <wp:inline distT="0" distB="0" distL="0" distR="0">
                        <wp:extent cx="2296800" cy="439200"/>
                        <wp:docPr id="70994412" name="name985364467769779fd" descr="_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images"/>
                                <pic:cNvPicPr/>
                              </pic:nvPicPr>
                              <pic:blipFill>
                                <a:blip r:embed="rId201164467769779a0" cstate="print"/>
                                <a:stretch>
                                  <a:fillRect/>
                                </a:stretch>
                              </pic:blipFill>
                              <pic:spPr>
                                <a:xfrm>
                                  <a:off x="0" y="0"/>
                                  <a:ext cx="2296800" cy="439200"/>
                                </a:xfrm>
                                <a:prstGeom prst="rect">
                                  <a:avLst/>
                                </a:prstGeom>
                                <a:ln w="0">
                                  <a:noFill/>
                                </a:ln>
                              </pic:spPr>
                            </pic:pic>
                          </a:graphicData>
                        </a:graphic>
                      </wp:inline>
                    </w:drawing>
                  </w:r>
                </w:p>
              </w:tc>
              <w:tc>
                <w:tcPr>
                  <w:tcMar>
                    <w:top w:w="0" w:type="auto"/>
                    <w:left w:w="0" w:type="auto"/>
                    <w:bottom w:w="0" w:type="auto"/>
                    <w:right w:w="0" w:type="auto"/>
                  </w:tcMar>
                  <w:vAlign w:val="top"/>
                </w:tcPr>
                <w:p>
                  <w:pPr>
                    <w:widowControl w:val="on"/>
                    <w:pBdr/>
                    <w:spacing w:before="0" w:after="0" w:line="240" w:lineRule="auto"/>
                    <w:ind w:left="0" w:right="0"/>
                    <w:jc w:val="left"/>
                  </w:pPr>
                  <w:r>
                    <w:rPr>
                      <w:rFonts w:ascii="arial" w:hAnsi="arial" w:eastAsia="arial" w:cs="arial"/>
                      <w:color w:val="000000"/>
                      <w:position w:val="0"/>
                      <w:sz w:val="15"/>
                      <w:szCs w:val="15"/>
                    </w:rPr>
                    <w:t xml:space="preserve">RegioEffect</w:t>
                  </w:r>
                  <w:r>
                    <w:rPr>
                      <w:rFonts w:ascii="arial" w:hAnsi="arial" w:eastAsia="arial" w:cs="arial"/>
                      <w:color w:val="000000"/>
                      <w:position w:val="0"/>
                      <w:sz w:val="15"/>
                      <w:szCs w:val="15"/>
                    </w:rPr>
                    <w:br/>
                    <w:t xml:space="preserve">Binnenweg 7</w:t>
                  </w:r>
                  <w:r>
                    <w:rPr>
                      <w:rFonts w:ascii="arial" w:hAnsi="arial" w:eastAsia="arial" w:cs="arial"/>
                      <w:color w:val="000000"/>
                      <w:position w:val="0"/>
                      <w:sz w:val="15"/>
                      <w:szCs w:val="15"/>
                    </w:rPr>
                    <w:br/>
                    <w:t xml:space="preserve">6644 KD, Ewijk</w:t>
                  </w:r>
                  <w:r>
                    <w:rPr>
                      <w:rFonts w:ascii="arial" w:hAnsi="arial" w:eastAsia="arial" w:cs="arial"/>
                      <w:color w:val="000000"/>
                      <w:position w:val="0"/>
                      <w:sz w:val="15"/>
                      <w:szCs w:val="15"/>
                    </w:rPr>
                    <w:br/>
                    <w:t xml:space="preserve">info@regioeffect.nl</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Titel</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Vergunningverlener APV</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Consultant</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Bram van Glabbeek</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omschrijving Vergunningverlener APV</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Evenementen, horeca en drank, jij kan beoordelen wat er nodig is om activiteiten goed en veilig te laten verlopen.</w:t>
                  </w:r>
                  <w:r>
                    <w:rPr>
                      <w:rFonts w:ascii="arial" w:hAnsi="arial" w:eastAsia="arial" w:cs="arial"/>
                      <w:color w:val="000000"/>
                      <w:position w:val="-2"/>
                      <w:sz w:val="17"/>
                      <w:szCs w:val="17"/>
                    </w:rPr>
                    <w:br/>
                    <w:t xml:space="preserve"> </w:t>
                  </w:r>
                  <w:r>
                    <w:rPr>
                      <w:rFonts w:ascii="arial" w:hAnsi="arial" w:eastAsia="arial" w:cs="arial"/>
                      <w:color w:val="000000"/>
                      <w:position w:val="-2"/>
                      <w:sz w:val="17"/>
                      <w:szCs w:val="17"/>
                    </w:rPr>
                    <w:br/>
                    <w:t xml:space="preserve">Als vergunningverlener sta je voor het bevorderen van evenementen door het klantvriendelijk, toegankelijk en duidelijk maken van procedures en het streven naar het juiste evenwicht tussen gezelligheid en feestelijkheden. Je weet het belang van het bewaren van de openbare orde, het beperken van de overlast en het bewaken van de leefbaarheid. Je kent dus de wet- en regelgeving. Je geeft vroegtijdig knelpunten aan en houdt de procedure en daarmee de termijnen in de gaten voor de vergunningen.</w:t>
                  </w:r>
                  <w:r>
                    <w:rPr>
                      <w:rFonts w:ascii="arial" w:hAnsi="arial" w:eastAsia="arial" w:cs="arial"/>
                      <w:color w:val="000000"/>
                      <w:position w:val="-2"/>
                      <w:sz w:val="17"/>
                      <w:szCs w:val="17"/>
                    </w:rPr>
                    <w:br/>
                    <w:t xml:space="preserve"> </w:t>
                  </w:r>
                  <w:r>
                    <w:rPr>
                      <w:rFonts w:ascii="arial" w:hAnsi="arial" w:eastAsia="arial" w:cs="arial"/>
                      <w:color w:val="000000"/>
                      <w:position w:val="-2"/>
                      <w:sz w:val="17"/>
                      <w:szCs w:val="17"/>
                    </w:rPr>
                    <w:br/>
                    <w:t xml:space="preserve">Bij evenementen zijn naast de gemeente vele partijen betrokken waaronder organisatoren, hulpdiensten en omwonenden. Het gaat er om duidelijk te maken wat wel en niet kan, hoe we zaken aanpakken  en wat ieders rol en verantwoordelijkheid hierbij is. Alle relevante procedures, voorschriften en afspraken worden gebundeld zodat het proces rondom vergunningverlening soepel verloopt.</w:t>
                  </w:r>
                  <w:r>
                    <w:rPr>
                      <w:rFonts w:ascii="arial" w:hAnsi="arial" w:eastAsia="arial" w:cs="arial"/>
                      <w:color w:val="000000"/>
                      <w:position w:val="-2"/>
                      <w:sz w:val="17"/>
                      <w:szCs w:val="17"/>
                    </w:rPr>
                    <w:br/>
                    <w:t xml:space="preserve"> </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Functie eisen Vergunningverlener APV</w:t>
                  </w:r>
                </w:p>
              </w:tc>
            </w:tr>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b/>
                      <w:bCs/>
                      <w:color w:val="000000"/>
                      <w:position w:val="-2"/>
                      <w:sz w:val="17"/>
                      <w:szCs w:val="17"/>
                    </w:rPr>
                    <w:t xml:space="preserve">Hier krijgt jouw talent de ruimte</w:t>
                  </w:r>
                  <w:r>
                    <w:rPr>
                      <w:rFonts w:ascii="arial" w:hAnsi="arial" w:eastAsia="arial" w:cs="arial"/>
                      <w:color w:val="000000"/>
                      <w:position w:val="-2"/>
                      <w:sz w:val="17"/>
                      <w:szCs w:val="17"/>
                    </w:rPr>
                    <w:br/>
                    <w:t xml:space="preserve">Als vergunningverlener ben je verantwoordelijk voor het zelfstandig, correct en tijdig beoordelen en verlenen van vergunningsaanvragen en meldingen op grond van onder andere de APV, VFL en Alcoholwet. Dit gaat om bijvoorbeeld evenementen, horeca en standplaatsen. Door goed samen te werken met in- en externe relaties haal je advies op en weet je welke beslissingen je kan nemen. Je communiceert helder en doelgericht waarbij je oog hebt voor de lokale politiek. Je vindt het leuk om oplossingsgericht mee te denken met de klant, zonder hierbij de efficiëntie uit het oog te verliezen. Je kunt goed omgaan met een diversiteit aan werkdruk door de pieken en dalen in je werkzaamheden. Je bent van nature een doortastend en stressbestendig persoon. Daarnaast heb je:
</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hebt MBO/MBO+ werk- en denk niveau.</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voelt je verantwoordelijk en je hebt een analytisch vermogen.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bent klant- en kwaliteitsgericht.</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weegt gegevens en mogelijke handelwijzen in het licht van relevante criteria tegen elkaar af om tot realistische beoordelingen te komen.</w:t>
                  </w:r>
                </w:p>
                <w:p>
                  <w:pPr>
                    <w:numPr>
                      <w:ilvl w:val="0"/>
                      <w:numId w:val="1"/>
                    </w:numPr>
                    <w:spacing w:before="0" w:after="0" w:line="273" w:lineRule="auto"/>
                    <w:jc w:val="left"/>
                    <w:rPr>
                      <w:rFonts w:ascii="arial" w:hAnsi="arial" w:eastAsia="arial" w:cs="arial"/>
                      <w:color w:val="000000"/>
                      <w:sz w:val="17"/>
                      <w:szCs w:val="17"/>
                    </w:rPr>
                  </w:pPr>
                  <w:r>
                    <w:rPr>
                      <w:rFonts w:ascii="arial" w:hAnsi="arial" w:eastAsia="arial" w:cs="arial"/>
                      <w:color w:val="000000"/>
                      <w:position w:val="-2"/>
                      <w:sz w:val="17"/>
                      <w:szCs w:val="17"/>
                    </w:rPr>
                    <w:t xml:space="preserve">Je hebt bij voorkeur minimaal 2 jaar ervaring met bovengenoemde werkzaamheden.</w:t>
                  </w:r>
                </w:p>
              </w:tc>
            </w:tr>
          </w:tbl>
          <w:p/>
        </w:tc>
      </w:tr>
      <w:tr>
        <w:trPr>
          <w:trHeight w:val="0" w:hRule="atLeast"/>
        </w:trPr>
        <w:tc>
          <w:tcPr>
            <w:tcMar>
              <w:top w:w="0" w:type="auto"/>
              <w:left w:w="0" w:type="auto"/>
              <w:bottom w:w="0" w:type="auto"/>
              <w:right w:w="0" w:type="auto"/>
            </w:tcMar>
            <w:vAlign w:val="center"/>
          </w:tcPr>
          <w:tbl>
            <w:tblPr>
              <w:tblStyle w:val="NormalTablePHPDOCX"/>
              <w:tblW w:w="5000" w:type="pct"/>
              <w:tblCellSpacing w:w="30" w:type="dxa"/>
              <w:tblInd w:w="0" w:type="auto"/>
              <w:tblBorders/>
            </w:tblPr>
            <w:tblGrid>
              <w:gridCol w:w="1"/>
            </w:tblGrid>
            <w:tr>
              <w:trPr>
                <w:trHeight w:val="0" w:hRule="atLeast"/>
              </w:trPr>
              <w:tc>
                <w:tcPr>
                  <w:tcMar>
                    <w:top w:w="0" w:type="auto"/>
                    <w:left w:w="0" w:type="auto"/>
                    <w:bottom w:w="0" w:type="auto"/>
                    <w:right w:w="0" w:type="auto"/>
                  </w:tcMar>
                  <w:vAlign w:val="center"/>
                </w:tcPr>
                <w:p>
                  <w:pPr>
                    <w:widowControl w:val="on"/>
                    <w:pBdr/>
                    <w:spacing w:before="0" w:after="0" w:line="240" w:lineRule="auto"/>
                    <w:ind w:left="0" w:right="0"/>
                    <w:jc w:val="left"/>
                  </w:pPr>
                  <w:r>
                    <w:rPr>
                      <w:rFonts w:ascii="arial" w:hAnsi="arial" w:eastAsia="arial" w:cs="arial"/>
                      <w:color w:val="000000"/>
                      <w:position w:val="-2"/>
                      <w:sz w:val="17"/>
                      <w:szCs w:val="17"/>
                    </w:rPr>
                    <w:t xml:space="preserve">Arbeidsvoorwaarden</w:t>
                  </w:r>
                </w:p>
              </w:tc>
            </w:tr>
            <w:tr>
              <w:trPr>
                <w:trHeight w:val="0" w:hRule="atLeast"/>
              </w:trPr>
              <w:tc>
                <w:tcPr>
                  <w:tcMar>
                    <w:top w:w="0" w:type="auto"/>
                    <w:left w:w="0" w:type="auto"/>
                    <w:bottom w:w="0" w:type="auto"/>
                    <w:right w:w="0" w:type="auto"/>
                  </w:tcMar>
                  <w:vAlign w:val="center"/>
                </w:tcPr>
                <w:p>
                  <w:pPr>
                    <w:widowControl w:val="on"/>
                    <w:pBdr/>
                    <w:spacing w:before="165" w:after="165" w:line="273" w:lineRule="auto"/>
                    <w:ind w:left="0" w:right="0"/>
                    <w:jc w:val="left"/>
                    <w:textAlignment w:val="center"/>
                  </w:pPr>
                  <w:r>
                    <w:rPr>
                      <w:rFonts w:ascii="arial" w:hAnsi="arial" w:eastAsia="arial" w:cs="arial"/>
                      <w:color w:val="000000"/>
                      <w:position w:val="-2"/>
                      <w:sz w:val="17"/>
                      <w:szCs w:val="17"/>
                    </w:rPr>
                    <w:t xml:space="preserve">Vergunningverlener APV/Evenementen is een baan voor 24 uur per week, daarvoor mag je rekenen op:</w:t>
                  </w:r>
                  <w:r>
                    <w:rPr>
                      <w:rFonts w:ascii="arial" w:hAnsi="arial" w:eastAsia="arial" w:cs="arial"/>
                      <w:color w:val="000000"/>
                      <w:position w:val="-2"/>
                      <w:sz w:val="17"/>
                      <w:szCs w:val="17"/>
                    </w:rPr>
                    <w:br/>
                    <w:t xml:space="preserve">•    een bruto maandsalaris van maximaal €4.052,- (schaal 8), op basis van een 36-urige werkweek.</w:t>
                  </w:r>
                  <w:r>
                    <w:rPr>
                      <w:rFonts w:ascii="arial" w:hAnsi="arial" w:eastAsia="arial" w:cs="arial"/>
                      <w:color w:val="000000"/>
                      <w:position w:val="-2"/>
                      <w:sz w:val="17"/>
                      <w:szCs w:val="17"/>
                    </w:rPr>
                    <w:br/>
                    <w:t xml:space="preserve">•    een individueel keuzebudget van 17,05% van jouw salaris. Aan jou dus de keuze wat je met dit budget doet. Extra vakantiedagen? Of misschien toch een fiets aanschaffen? Daarnaast kan je het IKB uit laten betalen op elk gewenst moment.</w:t>
                  </w:r>
                  <w:r>
                    <w:rPr>
                      <w:rFonts w:ascii="arial" w:hAnsi="arial" w:eastAsia="arial" w:cs="arial"/>
                      <w:color w:val="000000"/>
                      <w:position w:val="-2"/>
                      <w:sz w:val="17"/>
                      <w:szCs w:val="17"/>
                    </w:rPr>
                    <w:br/>
                    <w:t xml:space="preserve">•    uitgebreide leer-, ontwikkelings- en doorgroeimogelijkheden. We zijn trots op de carrièrekansen die we bieden.</w:t>
                  </w:r>
                  <w:r>
                    <w:rPr>
                      <w:rFonts w:ascii="arial" w:hAnsi="arial" w:eastAsia="arial" w:cs="arial"/>
                      <w:color w:val="000000"/>
                      <w:position w:val="-2"/>
                      <w:sz w:val="17"/>
                      <w:szCs w:val="17"/>
                    </w:rPr>
                    <w:br/>
                    <w:t xml:space="preserve">•    locatieonafhankelijk werken met behulp van een laptop en smartphone. Je werktijden zijn flexibel in te delen én wij faciliteren thuiswerkplekken.</w:t>
                  </w:r>
                  <w:r>
                    <w:rPr>
                      <w:rFonts w:ascii="arial" w:hAnsi="arial" w:eastAsia="arial" w:cs="arial"/>
                      <w:color w:val="000000"/>
                      <w:position w:val="-2"/>
                      <w:sz w:val="17"/>
                      <w:szCs w:val="17"/>
                    </w:rPr>
                    <w:br/>
                    <w:t xml:space="preserve">•    een NS-Business Card inclusief gebruik van Greenwheels voor dienstreizen.</w:t>
                  </w:r>
                  <w:r>
                    <w:rPr>
                      <w:rFonts w:ascii="arial" w:hAnsi="arial" w:eastAsia="arial" w:cs="arial"/>
                      <w:color w:val="000000"/>
                      <w:position w:val="-2"/>
                      <w:sz w:val="17"/>
                      <w:szCs w:val="17"/>
                    </w:rPr>
                    <w:br/>
                    <w:t xml:space="preserve"> </w:t>
                  </w:r>
                  <w:r>
                    <w:rPr>
                      <w:rFonts w:ascii="arial" w:hAnsi="arial" w:eastAsia="arial" w:cs="arial"/>
                      <w:color w:val="000000"/>
                      <w:position w:val="-2"/>
                      <w:sz w:val="17"/>
                      <w:szCs w:val="17"/>
                    </w:rPr>
                    <w:br/>
                    <w:t xml:space="preserve">Na een arbeidsovereenkomst van 1 jaar bekijken we samen of we dit omzetten naar onbepaalde tijd.</w:t>
                  </w:r>
                </w:p>
                <w:p>
                  <w:pPr>
                    <w:widowControl w:val="on"/>
                    <w:pBdr/>
                    <w:spacing w:before="165" w:after="165" w:line="273" w:lineRule="auto"/>
                    <w:ind w:left="0" w:right="0"/>
                    <w:jc w:val="left"/>
                    <w:textAlignment w:val="center"/>
                  </w:pPr>
                  <w:r>
                    <w:rPr>
                      <w:rFonts w:ascii="arial" w:hAnsi="arial" w:eastAsia="arial" w:cs="arial"/>
                      <w:b/>
                      <w:bCs/>
                      <w:color w:val="000000"/>
                      <w:position w:val="-2"/>
                      <w:sz w:val="17"/>
                      <w:szCs w:val="17"/>
                    </w:rPr>
                    <w:t xml:space="preserve">Interesse?</w:t>
                  </w:r>
                  <w:r>
                    <w:rPr>
                      <w:rFonts w:ascii="arial" w:hAnsi="arial" w:eastAsia="arial" w:cs="arial"/>
                      <w:color w:val="000000"/>
                      <w:position w:val="-2"/>
                      <w:sz w:val="17"/>
                      <w:szCs w:val="17"/>
                    </w:rPr>
                    <w:t xml:space="preserve"> Reageer dan online voor 1 mei 2023 of neem contact op met Bram van Glabbeek via bram@regioeffect.nl of 06-51592700.</w:t>
                  </w:r>
                </w:p>
              </w:tc>
            </w:tr>
          </w:tbl>
          <w:p/>
        </w:tc>
      </w:tr>
    </w:tbl>
    <w:sectPr xmlns:w="http://schemas.openxmlformats.org/wordprocessingml/2006/main" w:rsidR="00AC197E" w:rsidRPr="00DF064E" w:rsidSect="000F6147">
      <w:pgSz w:w="11906" w:h="16838" w:orient="portrait" w:code="9"/>
      <w:pgMar w:top="1134" w:right="850" w:bottom="1417" w:left="850"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tplc="242899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622835">
    <w:multiLevelType w:val="hybridMultilevel"/>
    <w:lvl w:ilvl="0" w:tplc="65813144">
      <w:start w:val="1"/>
      <w:numFmt w:val="decimal"/>
      <w:lvlText w:val="%1."/>
      <w:lvlJc w:val="left"/>
      <w:pPr>
        <w:ind w:left="720" w:hanging="360"/>
      </w:pPr>
    </w:lvl>
    <w:lvl w:ilvl="1" w:tplc="65813144" w:tentative="1">
      <w:start w:val="1"/>
      <w:numFmt w:val="lowerLetter"/>
      <w:lvlText w:val="%2."/>
      <w:lvlJc w:val="left"/>
      <w:pPr>
        <w:ind w:left="1440" w:hanging="360"/>
      </w:pPr>
    </w:lvl>
    <w:lvl w:ilvl="2" w:tplc="65813144" w:tentative="1">
      <w:start w:val="1"/>
      <w:numFmt w:val="lowerRoman"/>
      <w:lvlText w:val="%3."/>
      <w:lvlJc w:val="right"/>
      <w:pPr>
        <w:ind w:left="2160" w:hanging="180"/>
      </w:pPr>
    </w:lvl>
    <w:lvl w:ilvl="3" w:tplc="65813144" w:tentative="1">
      <w:start w:val="1"/>
      <w:numFmt w:val="decimal"/>
      <w:lvlText w:val="%4."/>
      <w:lvlJc w:val="left"/>
      <w:pPr>
        <w:ind w:left="2880" w:hanging="360"/>
      </w:pPr>
    </w:lvl>
    <w:lvl w:ilvl="4" w:tplc="65813144" w:tentative="1">
      <w:start w:val="1"/>
      <w:numFmt w:val="lowerLetter"/>
      <w:lvlText w:val="%5."/>
      <w:lvlJc w:val="left"/>
      <w:pPr>
        <w:ind w:left="3600" w:hanging="360"/>
      </w:pPr>
    </w:lvl>
    <w:lvl w:ilvl="5" w:tplc="65813144" w:tentative="1">
      <w:start w:val="1"/>
      <w:numFmt w:val="lowerRoman"/>
      <w:lvlText w:val="%6."/>
      <w:lvlJc w:val="right"/>
      <w:pPr>
        <w:ind w:left="4320" w:hanging="180"/>
      </w:pPr>
    </w:lvl>
    <w:lvl w:ilvl="6" w:tplc="65813144" w:tentative="1">
      <w:start w:val="1"/>
      <w:numFmt w:val="decimal"/>
      <w:lvlText w:val="%7."/>
      <w:lvlJc w:val="left"/>
      <w:pPr>
        <w:ind w:left="5040" w:hanging="360"/>
      </w:pPr>
    </w:lvl>
    <w:lvl w:ilvl="7" w:tplc="65813144" w:tentative="1">
      <w:start w:val="1"/>
      <w:numFmt w:val="lowerLetter"/>
      <w:lvlText w:val="%8."/>
      <w:lvlJc w:val="left"/>
      <w:pPr>
        <w:ind w:left="5760" w:hanging="360"/>
      </w:pPr>
    </w:lvl>
    <w:lvl w:ilvl="8" w:tplc="65813144" w:tentative="1">
      <w:start w:val="1"/>
      <w:numFmt w:val="lowerRoman"/>
      <w:lvlText w:val="%9."/>
      <w:lvlJc w:val="right"/>
      <w:pPr>
        <w:ind w:left="6480" w:hanging="180"/>
      </w:pPr>
    </w:lvl>
  </w:abstractNum>
  <w:abstractNum w:abstractNumId="36622834">
    <w:multiLevelType w:val="hybridMultilevel"/>
    <w:lvl w:ilvl="0" w:tplc="283784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622834">
    <w:abstractNumId w:val="36622834"/>
  </w:num>
  <w:num w:numId="36622835">
    <w:abstractNumId w:val="36622835"/>
  </w:num>
  <w:num w:numId="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01164467769779a0" Type="http://schemas.openxmlformats.org/officeDocument/2006/relationships/image" Target="media/imgrId201164467769779a0.pn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